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jc w:val="center"/>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CURRICULUM VITAE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center"/>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Rome Imari Mubarak</w:t>
      </w:r>
    </w:p>
    <w:p>
      <w:pPr>
        <w:jc w:val="center"/>
        <w:bidi w:val="false"/>
        <w:spacing w:after="200" w:before="0" w:line="276" w:lineRule="auto"/>
        <w:ind w:left="0" w:right="0" w:firstLine="0" w:hanging="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r>
        <w:rPr>
          <w:b w:val="false"/>
          <w:i w:val="false"/>
          <w:u w:val="none"/>
          <w:vertAlign w:val="baseline"/>
          <w:sz w:val="24"/>
          <w:szCs w:val="24"/>
          <w:color w:val="000000"/>
          <w:rFonts w:ascii="Calibri" w:cs="Calibri" w:eastAsia="Calibri" w:hAnsi="Calibri"/>
          <w:caps w:val="false"/>
          <w:smallCaps w:val="false"/>
          <w:strike w:val="false"/>
          <w:shadow w:val="false"/>
          <w:highlight w:val="none"/>
          <w:shadow w:val="0"/>
          <w:lang w:bidi="ar-sa"/>
          <w:vanish w:val="false"/>
          <w:iCs w:val="false"/>
          <w:bCs w:val="false"/>
          <w:effect w:val="none"/>
        </w:rPr>
        <w:t xml:space="preserve">377 Palm </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Ave </w:t>
      </w:r>
      <w:r>
        <w:rPr>
          <w:b w:val="false"/>
          <w:i w:val="false"/>
          <w:u w:val="none"/>
          <w:vertAlign w:val="baseline"/>
          <w:sz w:val="24"/>
          <w:szCs w:val="24"/>
          <w:color w:val="000000"/>
          <w:rFonts w:ascii="Calibri" w:cs="Calibri" w:eastAsia="Calibri" w:hAnsi="Calibri"/>
          <w:caps w:val="false"/>
          <w:smallCaps w:val="false"/>
          <w:strike w:val="false"/>
          <w:shadow w:val="false"/>
          <w:highlight w:val="none"/>
          <w:shadow w:val="0"/>
          <w:lang w:bidi="ar-sa"/>
          <w:vanish w:val="false"/>
          <w:iCs w:val="false"/>
          <w:bCs w:val="false"/>
          <w:effect w:val="none"/>
        </w:rPr>
        <w:t xml:space="preserve">103</w:t>
      </w:r>
    </w:p>
    <w:p>
      <w:pPr>
        <w:jc w:val="center"/>
        <w:bidi w:val="false"/>
        <w:spacing w:after="200" w:before="0" w:line="276" w:lineRule="auto"/>
        <w:ind w:left="0" w:right="0" w:firstLine="0" w:hanging="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r>
        <w:rPr>
          <w:b w:val="false"/>
          <w:i w:val="false"/>
          <w:u w:val="none"/>
          <w:vertAlign w:val="baseline"/>
          <w:sz w:val="24"/>
          <w:szCs w:val="24"/>
          <w:color w:val="000000"/>
          <w:rFonts w:ascii="Calibri" w:cs="Calibri" w:eastAsia="Calibri" w:hAnsi="Calibri"/>
          <w:caps w:val="false"/>
          <w:smallCaps w:val="false"/>
          <w:strike w:val="false"/>
          <w:shadow w:val="false"/>
          <w:highlight w:val="none"/>
          <w:shadow w:val="0"/>
          <w:lang w:bidi="ar-sa"/>
          <w:vanish w:val="false"/>
          <w:iCs w:val="false"/>
          <w:bCs w:val="false"/>
          <w:effect w:val="none"/>
        </w:rPr>
        <w:t xml:space="preserve">Oakland</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CA 9</w:t>
      </w:r>
      <w:r>
        <w:rPr>
          <w:b w:val="false"/>
          <w:i w:val="false"/>
          <w:u w:val="none"/>
          <w:vertAlign w:val="baseline"/>
          <w:sz w:val="24"/>
          <w:szCs w:val="24"/>
          <w:color w:val="000000"/>
          <w:rFonts w:ascii="Calibri" w:cs="Calibri" w:eastAsia="Calibri" w:hAnsi="Calibri"/>
          <w:caps w:val="false"/>
          <w:smallCaps w:val="false"/>
          <w:strike w:val="false"/>
          <w:shadow w:val="false"/>
          <w:highlight w:val="none"/>
          <w:shadow w:val="0"/>
          <w:lang w:bidi="ar-sa"/>
          <w:vanish w:val="false"/>
          <w:iCs w:val="false"/>
          <w:bCs w:val="false"/>
          <w:effect w:val="none"/>
        </w:rPr>
        <w:t xml:space="preserve">4</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6</w:t>
      </w:r>
      <w:r>
        <w:rPr>
          <w:b w:val="false"/>
          <w:i w:val="false"/>
          <w:u w:val="none"/>
          <w:vertAlign w:val="baseline"/>
          <w:sz w:val="24"/>
          <w:szCs w:val="24"/>
          <w:color w:val="000000"/>
          <w:rFonts w:ascii="Calibri" w:cs="Calibri" w:eastAsia="Calibri" w:hAnsi="Calibri"/>
          <w:caps w:val="false"/>
          <w:smallCaps w:val="false"/>
          <w:strike w:val="false"/>
          <w:shadow w:val="false"/>
          <w:highlight w:val="none"/>
          <w:shadow w:val="0"/>
          <w:lang w:bidi="ar-sa"/>
          <w:vanish w:val="false"/>
          <w:iCs w:val="false"/>
          <w:bCs w:val="false"/>
          <w:effect w:val="none"/>
        </w:rPr>
        <w:t xml:space="preserve">10</w:t>
      </w:r>
    </w:p>
    <w:p>
      <w:pPr>
        <w:jc w:val="center"/>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(510) 703-6653</w:t>
      </w:r>
    </w:p>
    <w:p>
      <w:pPr>
        <w:jc w:val="center"/>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romemubarak13@gmail.com</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EDUCATIONAL BACKGROUND</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Masters Degree: Public Administration, 1999 CSU-Hayward; Hayward, California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B.A. Major - Political Science - 1994 Minor in: International Relations CSU-Chico; Chico, California </w:t>
      </w: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Achievements,  Awards and Honors: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2016 RateMyTeacher:</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http://www.ratemyteachers.com/contra-costa-college-san-pablo/137386-s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2016 &amp; 2015 Teacher Evaluation of Excellence </w:t>
      </w:r>
    </w:p>
    <w:p>
      <w:pPr>
        <w:jc w:val="left"/>
        <w:bidi w:val="0"/>
        <w:spacing w:after="200" w:before="0" w:line="276" w:lineRule="auto"/>
        <w:ind w:left="0" w:right="0" w:firstLine="0"/>
        <w:rPr>
          <w:b w:val="0"/>
          <w:i w:val="0"/>
          <w:vertAlign w:val="baseline"/>
          <w:sz w:val="24.0"/>
          <w:rFonts w:ascii="Calibri"/>
          <w:strike w:val="false"/>
          <w:highlight w:val="white"/>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2015 Children and Family Services 15 year service recognition award.</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2008 Certificates for Outstanding Achievement and contribution to the Title IV-E Graduate Intern Mentoring Program</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2006 Outstanding Achievement Award for Community leadership for Sickle Cell Educational Advancement presented by the Omega Psi Phi Fraternity, Inc.</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2001 &amp; 2006 Certificates of Recognition for Outstanding Contributions &amp; Commitment to the Bureau of Children &amp; Family Services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1998 and 2005 Certificate of Outstanding Achievement as at Alta Bates Herrick Psychiatric Hospital, Berkeley, CA.</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Class of 1993 California State University- Outstanding Student Award for Student Government &amp; Innovative Leadership and Community Activism.</w:t>
      </w: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SUMMARY OF EXPERIENCE:</w:t>
      </w: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Los Medanos College - Political Science Instructor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Teaching U.S. Government classes at the Contra Costa campus. Utilizing both auditory, visual and kinesthetic learning methods to assure students a well-rounded learning experience.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Specialization in using real time examples, demographically relational and ethnographic in nature. Infusing both historical content, political timelines and schools of political philosophy &amp; theory to the classroom Adjunct ) 2016 summer session(s)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College of Alameda- Study Skills/Student Success Instructor</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(adjunct) 09/2015- present</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Provide an array of study skill tools, independent learning and in-class exercises so that students may retain and perform at an optimal level during a students academic career. Discuss and identify personal hurddles, development and life goals in American society. Also provide self-assessment tools so students understand their strengths and weaknesses when taking in information/learning.</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Topics of learning include: Time management,  complacency and procrastination,  effective note taking, word identification and root origin, learning styles, recall exercises, short vs long session study.</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Contra Contra College</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Political Science Instructor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Teaching U.S. Government classes at the Contra Costa campus. Utilizing both auditory, visual and kinesthetic learning methods to assure students a well-rounded learning experience.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Specialization in using real time examples, demographically relational and ethnographic in nature. Infusing both historical content, political timelines and schools of political philosophy &amp; theory to the classroom.</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Contemporary Men's Instructor </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(Sociology 140; Spring 2016)</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Discuss and inform students of contemporary issues pertaining to young boys in adolescence growing into adulthood in today's American society. Covering materials on issues ranging from perspectives on health, power, politics, gender, employment, leadership, policing, racism &amp; sexism.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SEIU 1021- Chief Negotiator</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2009-2013</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Work closely with local government; County Board of Supervisors in negotiating fair and equitable labor contracts representing 800 members of the Social Services Department in Contra Costa County. Attend bi-weekly executive board meetings to create, modify and introduce contract language for the preservation of its membership. Conference with County administrators to mitigate ongoing labor conditions &amp; practices. Collect aggregate data to validate, or disprove perceived trends and/or conditions as it relates to work environment, pay and conditions.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Contra Costa County Department of Human Services, CA</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(Population: 948,816)</w:t>
        <w:br/>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Bureau of Children &amp; Family Services West County Office</w:t>
        <w:br/>
        <w:t>Social Casework Specialist II/ Case Manager/ Social Worker</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(1999-to 2014, retired)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This position requires that one demonstrate the ability to multi-task, in a highly complex environment with the use of multiple technical systems operating simultaneously. Applied social work principles, Investigative knowledge, and practice of social welfare to provide and articulate an understanding of diagnosis, long-term treatment plans, and apply or recommend preventive social service programs and/or resources for individuals and families. Responsibility for case notes, court reports (6 month reviews, Jurisdictional reports, Detention reports, Ex parte orders, restraining orders, dual-jurisdictional reports, etc.)and the maintenance of updated data for outcome measures provided to the state and federal agencies to maintain compliance with the State’s regulatory standards.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Work as a Coordinator/ Liaison between both community based organizations (CBO) and faith based organizations(FBO) organizations on various community events and projects (Family to Family project via Casey Foundation).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t xml:space="preserve">Assist in Multi-Disciplinary Case planning per at-risk family and early childhood intervention. Provide tactical emergency response to children in need. Assess and manage both, children and Family once placed in foster care as well as high risk needs families. Maintain statistical data for outcome measures on each family receiving services.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Follow Department regulations on both court mandated programs for the use of both, parents extended family members and children. Provide additional resources/ Education to members of the community throughout Contra Costa County. Utilization of assessment tools provided by state compliance &amp; regulatory agencies to aid in the rendering of accurate and sound judgement on a case by case basis.</w:t>
        <w:br/>
        <w:t>Provide legal court reports to both Juvenile Dependency matters and Family law matters. Provide client advocacy. Make referrals as well as network with community partners as a whole, etc.</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Perform Home inspections, background investigation checks with the use of state &amp; county systems such as CLETS, Department of Justice (DOJ) and fingerprinting of family members seeking placement qualification, flight risk aversion , issue warrants for the apprehension of runaway youth and/or unfit parents harboring children across county or state lines against court orders and the use of Amber-Alert system. Assess conduct/behavior level of children to determine if specialized placement is needed. Facilitate Team Decision Making meetings with members of the community and families at risk or in need. Collaborate and schedule wrap-around meetings with mental healthcare professionals and outside agencies in the development, implementation, and evaluation of client treatment plans.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Alta Bates Psychiatric Hospital</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(Herrick Campus (Berkeley, CA)</w:t>
        <w:br/>
        <w:t>Adolescent Psychiatry 3EB unit</w:t>
        <w:br/>
        <w:t>Position: Mental Health Specialist PART-TIME (6/2001-2008)</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t>Duties: Plan and organize day program structure. In this capacity I would Facilitate Focus group counseling sessions, individual counseling, and make recommendations to MDCP team regarding best possible treatment plan and resources to meet expected prognosis for individual patient.</w:t>
        <w:br/>
        <w:t>Teach Independent Living Skills in a classroom setting of adolescent and young adults.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Assist in Assessment and Diagnosis through observation, charting and de-briefing following program activities. I am formally recognized for 7 years of dedication to both Psychiatric unit and student/patient education. Earned respect from students/patients, colleagues, and administrators for level of dedication; employ friendly, engaging teaching style.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Develop proactive counseling plans for patients to modify and change attitudes and behavior, overcome dependencies, recover from illnesses, and adjust to their situational circumstances.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Monitor, evaluate, and record clients' progress according to measurable goals described in treatment environment and care plans. Conduct client assessments, perform therapy, and refer individuals to community resources as needed.</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*Supervisorial role of all mental health workers on shift and patient milieu. Provide recommendation, feedback and technical support for on-shift workers in their approach and dealings with patients in a clinical setting. Also provide lead direction and support during assaultive episodes on various units.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Alta Bates Psychiatry (Herrick Campus) </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Berkeley, CA.</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3Eb,3N,4eastB,4eastA, and 4North units</w:t>
        <w:br/>
        <w:t>Mental Health Worker (2/1995-1999) fulltime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Assist in the facilitation of groups, individual counseling and provide behavioral modification plans for both disgruntled and behaviorally challenged adults and adolescents. </w:t>
        <w:br/>
        <w:t>Assist in Multi-disciplinarian meetings with doctors, social workers, nurses and parents/legal guardians in case planning activities as well as discharge planning.</w:t>
        <w:br/>
        <w:t xml:space="preserve">Develop structured action plans.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1997 Unit Researcher: Gathered both qualitative and quantitative data on number of restraint episodes and the use of alternative coping mechanisms as a measure in reducing the number of assaultive patient episodes on the adolescent unit. Both Longtudinal and Cross –sectional models  were utilized to display progress or regression in data.</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Seneca Center Sub-acute Behavioral Center</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Los Reyes House-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Mental Health Counselor (2/1993-1995) fulltime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Supervie and provide structure to mentally disturbed youth ages 8-16 years of age, Follow all guidelines provided by the programs regulations around environment, use of resources and additional specialized programs to assist in providing and fostering the youth with an alternative to their former dysfunctional ways of responding to disappointment, anger, and provocation. Met once a week with all the staff to discuss and develop action plans per each child.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California State University, Chico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Community Legal Information Center</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Detention Awareness Program (D.A.P)-Director and -Co-Founder (1991-1994)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Under the approval and direction of Dr. Paul Persons, from the School of Behavioral Science, I along with two other students in the paralegal program designed the first divergent program for at-risk youth of its kind in Northern California.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Program entailed the selection and interview process of at risk youth in the community who have a history of gang-violence, repeated offenses, frequent suspensions or expulsions from the school district. Once the selection was made, (generally groups of 8-12 students) the process was followed by:</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Week 1- Group orientation, program assignment outline provided</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Week 2 Field study and tour at local jail facility</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Week 3- 602 moc-court hearings, and sentencing with follow-up educational discussion from presiding Judge/District Attorney.</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Week 4- Field trip &amp; tour of Susanville State Correctional Facility with roundtable discussion between youth and inmates who participate in Straight Talk on Prisons (STOP) program. Discussion monitored and guided by State University Psychologist.</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Week 5- Submission of 3 page report by students of their experience in the program with follow-up consultation and community resources made available.</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California State University, Chico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Community Legal Information Center</w:t>
      </w: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Penal Law Project- Program Director (1990-1991)</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Provide free legal information to the general public regarding tort actions, small claims, juvenile delinquency, misdemeanors and petty crimes. As the director I supervised 4-6 interns each semester from the University. As the director, one is responsible for scheduling office hours and educated students and general public on new laws directly impacting student life and the general public.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Other duties included: grant-writing for the Penal law and Detention Awareness programs, training, interview coding, editing, budget tracking, tracking invoices, making travel arrangements, setting up meetings, expense reporting, scanning, copying and faxing, invoice processing., taking dictation, ordering office supplies, tracking inventory, filing, copying, conducted trainings, and other responsibilities as necessary.</w:t>
      </w: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California Department of Forestry (CDF)</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Station 63 Orville, CA. 1989/90-1990/91</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Firefighter I (Seasonal)</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Initial attack fire fighter I -primarily in Butte County covering the Sierra Cascade Region in Northern California. As a fire fighter I would perform duties out of county travel on strike teams with a convoy of other fire units to wild land fires across the state.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Technical skills: Control burns with use of drip-torch, drafting with use of natural waterways, etc. In this educational experience I learned both, wild land, haz-mat (hazardous materials), and residential fire fighting techniques. CPR approved.</w:t>
      </w: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OTHER QUALIFICATIONS –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*Member of National Wealth Builders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Real Estate trends (domestic &amp; International) -Consulting &amp; Public speaking at various Faith-based, Community-Based, non-profit organizations and educational institutions on:</w:t>
        <w:br/>
        <w:t>Economic empowerment- Arrange and facilitate seminars on Overseas investment properties (France, South Africa, etc.) Holder and investor of properties abroad.</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br/>
        <w:t>Independent living skills-taught primarily at Alta Bates Herrick Hospital to adolescent youth and young adults.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p>
    <w:p>
      <w:pPr>
        <w:jc w:val="left"/>
        <w:bidi w:val="0"/>
        <w:spacing w:after="200" w:before="0" w:line="276" w:lineRule="auto"/>
        <w:ind w:left="0" w:right="0" w:firstLine="0"/>
        <w:rPr>
          <w:b w:val="1"/>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1"/>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COMPUTER SKILLS:</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 xml:space="preserve">  </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Software: Windows XP/NT, Microsoft Office, Excel,  SunOS, UNIX, C+, Visual Basic, HTML, Java, PERL, ArcView, Power Point application</w:t>
      </w:r>
    </w:p>
    <w:p>
      <w:pPr>
        <w:jc w:val="left"/>
        <w:bidi w:val="0"/>
        <w:spacing w:after="200" w:before="0" w:line="276" w:lineRule="auto"/>
        <w:ind w:left="0" w:right="0" w:firstLine="0"/>
        <w:rPr>
          <w:b w:val="0"/>
          <w:i w:val="0"/>
          <w:u w:val="none"/>
          <w:vertAlign w:val="baseline"/>
          <w:sz w:val="24.0"/>
          <w:szCs w:val="24.0"/>
          <w:color w:val="000000"/>
          <w:rFonts w:ascii="Calibri" w:cs="Calibri" w:eastAsia="Calibri" w:hAnsi="Calibri"/>
          <w:caps w:val="false"/>
          <w:smallCaps w:val="false"/>
          <w:strike w:val="false"/>
          <w:shadow w:val="false"/>
          <w:highlight w:val="none"/>
          <w:shadow w:val="0"/>
        </w:rPr>
      </w:pPr>
      <w:r>
        <w:rPr>
          <w:b w:val="0"/>
          <w:i w:val="0"/>
          <w:u w:val="none"/>
          <w:vertAlign w:val="baseline"/>
          <w:sz w:val="24.0"/>
          <w:szCs w:val="24.0"/>
          <w:color w:val="000000"/>
          <w:rFonts w:ascii="Calibri" w:cs="Calibri" w:eastAsia="Calibri" w:hAnsi="Calibri"/>
          <w:caps w:val="false"/>
          <w:smallCaps w:val="false"/>
          <w:strike w:val="false"/>
          <w:shadow w:val="false"/>
          <w:highlight w:val="none"/>
          <w:shadow w:val="0"/>
          <w:lang w:bidi="ar-sa"/>
        </w:rPr>
        <w:t>Database Software: Logix, Microsoft SQL, RefWorks, EndNote Research Database: Illumina, PolicyFile, JSTOR, California Welfare System (CWS), Safe Measures applications (State system).</w:t>
      </w:r>
    </w:p>
    <w:p>
      <w:pPr>
        <w:rPr>
          <w:sz w:val="24.0"/>
          <w:szCs w:val="24.0"/>
          <w:rFonts w:ascii="Carlito"/>
        </w:rPr>
      </w:pPr>
    </w:p>
    <w:sectPr>
      <w:pgSz w:w="12240" w:h="15840" w:orient="portrait"/>
      <w:pgMar w:bottom="1440" w:top="1440" w:right="1440" w:left="1440" w:header="720" w:footer="720" w:gutter="0"/>
      <w:cols w:space="720"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10002FF" w:usb1="4000ACFF" w:usb2="00000009" w:usb3="00000000" w:csb0="0000019F" w:csb1="00000000"/>
  </w:font>
  <w:font w:name="Times New Roman">
    <w:panose1 w:val="02020603050405020304"/>
    <w:charset w:val="00"/>
    <w:family w:val="roman"/>
    <w:pitch w:val="variable"/>
    <w:notTrueType w:val="true"/>
    <w:sig w:usb0="E0002AFF" w:usb1="C0007841" w:usb2="00000009" w:usb3="00000000" w:csb0="000001FF" w:csb1="00000000"/>
  </w:font>
  <w:font w:name="Cambria">
    <w:panose1 w:val="02040503050406030204"/>
    <w:charset w:val="00"/>
    <w:family w:val="roman"/>
    <w:pitch w:val="variable"/>
    <w:notTrueType w:val="tru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70EA"/>
    <w:rsid w:val="006D70EA"/>
    <w:rsid w:val="00CC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en-us" w:bidi="ar-sa" w:eastAsia="en-us"/>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W w:w="0" w:type="nil"/>
      <w:tblInd w:w="0" w:type="dxa"/>
      <w:tblBorders/>
      <w:tblCellMar>
        <w:top w:w="0" w:type="dxa"/>
        <w:bottom w:w="0" w:type="dxa"/>
        <w:left w:w="108" w:type="dxa"/>
        <w:right w:w="108" w:type="dxa"/>
      </w:tblCellMar>
    </w:tblPr>
  </w:style>
  <w:style w:type="numbering" w:default="1" w:styleId="NoList">
    <w:name w:val="No Lis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Rome Mubarak </cp:lastModifiedBy>
  <cp:revision>1</cp:revision>
  <dcterms:created xsi:type="dcterms:W3CDTF">2016-11-23T05:48:24Z</dcterms:created>
  <dcterms:modified xsi:type="dcterms:W3CDTF">2016-11-23T05:48:24Z</dcterms:modified>
</cp:coreProperties>
</file>